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CV pour la candidature pour la mission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d’assistance technique et d’accompagnement dans la passation des marchés dans le cadre du projet PADGEV II de l’UVT.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>Compétences spécifiques de l’expert exigées dans le cadre de leur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Expérience dans des missions similaires dans le cadre de projets financés par la Banque Mondiale,</w:t>
            </w:r>
            <w:r w:rsidR="000407A6">
              <w:rPr>
                <w:rFonts w:ascii="Arial" w:eastAsia="Arial" w:hAnsi="Arial" w:cs="Arial"/>
                <w:sz w:val="20"/>
                <w:szCs w:val="20"/>
              </w:rPr>
              <w:t xml:space="preserve"> par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l'UE ou par des institutions équivalentes.</w:t>
            </w:r>
          </w:p>
        </w:tc>
      </w:tr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 w:rsidP="000407A6">
            <w:pPr>
              <w:spacing w:after="24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Expériences dans la passation de marchés selon les procédures tunisiennes </w:t>
            </w:r>
          </w:p>
        </w:tc>
      </w:tr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❸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Expérience dans la coordination des projets financés par la Banque Mondiale, </w:t>
            </w:r>
            <w:r w:rsidR="000407A6">
              <w:rPr>
                <w:rFonts w:ascii="Arial" w:eastAsia="Arial" w:hAnsi="Arial" w:cs="Arial"/>
                <w:sz w:val="20"/>
                <w:szCs w:val="20"/>
              </w:rPr>
              <w:t xml:space="preserve">par </w:t>
            </w:r>
            <w:r>
              <w:rPr>
                <w:rFonts w:ascii="Arial" w:eastAsia="Arial" w:hAnsi="Arial" w:cs="Arial"/>
                <w:sz w:val="20"/>
                <w:szCs w:val="20"/>
              </w:rPr>
              <w:t>l'UE ou par des institutions équivalentes.</w:t>
            </w:r>
          </w:p>
        </w:tc>
      </w:tr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❹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Formations qualifiantes en passation de marchés</w:t>
            </w: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❶❷❸❹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3271E2"/>
    <w:rsid w:val="003A4E26"/>
    <w:rsid w:val="008F5525"/>
    <w:rsid w:val="00A5307D"/>
    <w:rsid w:val="00BB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4</cp:revision>
  <cp:lastPrinted>2021-08-24T11:52:00Z</cp:lastPrinted>
  <dcterms:created xsi:type="dcterms:W3CDTF">2021-08-24T11:52:00Z</dcterms:created>
  <dcterms:modified xsi:type="dcterms:W3CDTF">2021-08-25T12:24:00Z</dcterms:modified>
</cp:coreProperties>
</file>